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C022E" w14:textId="15736B8D" w:rsidR="00D920B7" w:rsidRDefault="00D920B7" w:rsidP="00D920B7">
      <w:pPr>
        <w:jc w:val="center"/>
        <w:rPr>
          <w:b/>
          <w:bCs/>
          <w:lang w:val="es-MX"/>
        </w:rPr>
      </w:pPr>
      <w:r>
        <w:rPr>
          <w:b/>
          <w:bCs/>
          <w:lang w:val="es-MX"/>
        </w:rPr>
        <w:t>Instrucciones para los postulantes a proveedores precalificados</w:t>
      </w:r>
    </w:p>
    <w:p w14:paraId="40878324" w14:textId="7C081A61" w:rsidR="00D920B7" w:rsidRPr="00CC7E31" w:rsidRDefault="00D920B7" w:rsidP="00D920B7">
      <w:pPr>
        <w:pStyle w:val="ListParagraph"/>
        <w:numPr>
          <w:ilvl w:val="0"/>
          <w:numId w:val="1"/>
        </w:numPr>
        <w:jc w:val="both"/>
        <w:rPr>
          <w:b/>
          <w:bCs/>
          <w:lang w:val="es-MX"/>
        </w:rPr>
      </w:pPr>
      <w:r w:rsidRPr="00CC7E31">
        <w:rPr>
          <w:b/>
          <w:bCs/>
          <w:lang w:val="es-MX"/>
        </w:rPr>
        <w:t xml:space="preserve">Entrega de documentación: </w:t>
      </w:r>
      <w:r w:rsidRPr="00CC7E31">
        <w:rPr>
          <w:lang w:val="es-MX"/>
        </w:rPr>
        <w:t xml:space="preserve"> la información solicitada para la entrega deberá ser remitida al correo</w:t>
      </w:r>
      <w:r w:rsidR="00450F8E" w:rsidRPr="00CC7E31">
        <w:rPr>
          <w:lang w:val="es-MX"/>
        </w:rPr>
        <w:t xml:space="preserve"> electrónico</w:t>
      </w:r>
      <w:r w:rsidRPr="00CC7E31">
        <w:rPr>
          <w:lang w:val="es-MX"/>
        </w:rPr>
        <w:t xml:space="preserve"> </w:t>
      </w:r>
      <w:hyperlink r:id="rId10" w:history="1">
        <w:r w:rsidRPr="00CC7E31">
          <w:rPr>
            <w:rStyle w:val="Hyperlink"/>
            <w:bCs/>
            <w:lang w:val="es-EC"/>
          </w:rPr>
          <w:t>tenders.ecuador@maginternational.org</w:t>
        </w:r>
      </w:hyperlink>
      <w:r w:rsidRPr="00CC7E31">
        <w:rPr>
          <w:lang w:val="es-MX"/>
        </w:rPr>
        <w:t xml:space="preserve"> en el plazo estipulado en la presente convocatoria.</w:t>
      </w:r>
      <w:r w:rsidR="00E236C2" w:rsidRPr="00CC7E31">
        <w:rPr>
          <w:lang w:val="es-MX"/>
        </w:rPr>
        <w:t xml:space="preserve"> La documentación entregada, será remitida en idioma español.</w:t>
      </w:r>
      <w:r w:rsidR="0085051C" w:rsidRPr="00CC7E31">
        <w:rPr>
          <w:lang w:val="es-MX"/>
        </w:rPr>
        <w:t xml:space="preserve"> No se podrá remitir la información a ningún otro correo electrónico.</w:t>
      </w:r>
    </w:p>
    <w:p w14:paraId="6EBCA720" w14:textId="77777777" w:rsidR="00A52068" w:rsidRPr="00D920B7" w:rsidRDefault="00A52068" w:rsidP="00A52068">
      <w:pPr>
        <w:pStyle w:val="ListParagraph"/>
        <w:jc w:val="both"/>
        <w:rPr>
          <w:b/>
          <w:bCs/>
          <w:lang w:val="es-MX"/>
        </w:rPr>
      </w:pPr>
    </w:p>
    <w:p w14:paraId="2727A316" w14:textId="4D59575A" w:rsidR="00D920B7" w:rsidRPr="00A52068" w:rsidRDefault="00D920B7" w:rsidP="00D920B7">
      <w:pPr>
        <w:pStyle w:val="ListParagraph"/>
        <w:numPr>
          <w:ilvl w:val="0"/>
          <w:numId w:val="1"/>
        </w:numPr>
        <w:jc w:val="both"/>
        <w:rPr>
          <w:b/>
          <w:bCs/>
          <w:lang w:val="es-MX"/>
        </w:rPr>
      </w:pPr>
      <w:r>
        <w:rPr>
          <w:b/>
          <w:bCs/>
          <w:lang w:val="es-MX"/>
        </w:rPr>
        <w:t xml:space="preserve">Documentos </w:t>
      </w:r>
      <w:r w:rsidR="0085051C">
        <w:rPr>
          <w:b/>
          <w:bCs/>
          <w:lang w:val="es-MX"/>
        </w:rPr>
        <w:t xml:space="preserve">a ser </w:t>
      </w:r>
      <w:r>
        <w:rPr>
          <w:b/>
          <w:bCs/>
          <w:lang w:val="es-MX"/>
        </w:rPr>
        <w:t xml:space="preserve">entregados: </w:t>
      </w:r>
      <w:r>
        <w:rPr>
          <w:lang w:val="es-MX"/>
        </w:rPr>
        <w:t>los oferentes interesados en precalificarse tendrán la obligación de revisar toda la información a ser remitida, así como del llenado de los formularios respectivos (en los casos que esto aplique)</w:t>
      </w:r>
      <w:r w:rsidR="00A52068">
        <w:rPr>
          <w:lang w:val="es-MX"/>
        </w:rPr>
        <w:t>. Los errores en la entrega de documentación serán responsabilidad del oferente interesado, y podrían conllevar a la descalificación. Será obligación de los oferentes interesados velar por la veracidad de la información presentada.</w:t>
      </w:r>
    </w:p>
    <w:p w14:paraId="7F2C10FA" w14:textId="77777777" w:rsidR="00A52068" w:rsidRPr="00A52068" w:rsidRDefault="00A52068" w:rsidP="00A52068">
      <w:pPr>
        <w:pStyle w:val="ListParagraph"/>
        <w:rPr>
          <w:b/>
          <w:bCs/>
          <w:lang w:val="es-MX"/>
        </w:rPr>
      </w:pPr>
    </w:p>
    <w:p w14:paraId="67353480" w14:textId="6E6CB02B" w:rsidR="00A52068" w:rsidRPr="002F0C72" w:rsidRDefault="00A52068" w:rsidP="00D920B7">
      <w:pPr>
        <w:pStyle w:val="ListParagraph"/>
        <w:numPr>
          <w:ilvl w:val="0"/>
          <w:numId w:val="1"/>
        </w:numPr>
        <w:jc w:val="both"/>
        <w:rPr>
          <w:b/>
          <w:bCs/>
          <w:lang w:val="es-MX"/>
        </w:rPr>
      </w:pPr>
      <w:r>
        <w:rPr>
          <w:b/>
          <w:bCs/>
          <w:lang w:val="es-MX"/>
        </w:rPr>
        <w:t xml:space="preserve">Aclaración de dudas: </w:t>
      </w:r>
      <w:r w:rsidR="002F0C72">
        <w:rPr>
          <w:lang w:val="es-MX"/>
        </w:rPr>
        <w:t xml:space="preserve">en caso de existir dudas sobre los documentos a ser entregados,  se ha habilitado el correo electrónico </w:t>
      </w:r>
      <w:hyperlink r:id="rId11" w:history="1">
        <w:r w:rsidR="002F0C72" w:rsidRPr="00C23BA2">
          <w:rPr>
            <w:rStyle w:val="Hyperlink"/>
            <w:lang w:val="es-MX"/>
          </w:rPr>
          <w:t>procurement.ecuador@maginternational.org</w:t>
        </w:r>
      </w:hyperlink>
      <w:r w:rsidR="002F0C72">
        <w:rPr>
          <w:lang w:val="es-MX"/>
        </w:rPr>
        <w:t xml:space="preserve">  en al cual se podrá dirigir cualquier inquietud, y recibir con la premura del caso la respectiva respuesta. Las solicitudes de aclaración podrán ser realizadas hasta </w:t>
      </w:r>
      <w:r w:rsidR="00967D7B">
        <w:rPr>
          <w:lang w:val="es-MX"/>
        </w:rPr>
        <w:t xml:space="preserve">5 </w:t>
      </w:r>
      <w:r w:rsidR="002F0C72">
        <w:rPr>
          <w:lang w:val="es-MX"/>
        </w:rPr>
        <w:t>días antes de la fecha límite para la entrega de propuestas</w:t>
      </w:r>
      <w:r w:rsidR="00D007B9">
        <w:rPr>
          <w:lang w:val="es-MX"/>
        </w:rPr>
        <w:t xml:space="preserve">. </w:t>
      </w:r>
    </w:p>
    <w:p w14:paraId="33539B5A" w14:textId="77777777" w:rsidR="002F0C72" w:rsidRPr="002F0C72" w:rsidRDefault="002F0C72" w:rsidP="002F0C72">
      <w:pPr>
        <w:pStyle w:val="ListParagraph"/>
        <w:rPr>
          <w:b/>
          <w:bCs/>
          <w:lang w:val="es-MX"/>
        </w:rPr>
      </w:pPr>
    </w:p>
    <w:p w14:paraId="094B9303" w14:textId="259B0022" w:rsidR="002F0C72" w:rsidRPr="0085051C" w:rsidRDefault="002F0C72" w:rsidP="00D920B7">
      <w:pPr>
        <w:pStyle w:val="ListParagraph"/>
        <w:numPr>
          <w:ilvl w:val="0"/>
          <w:numId w:val="1"/>
        </w:numPr>
        <w:jc w:val="both"/>
        <w:rPr>
          <w:b/>
          <w:bCs/>
          <w:lang w:val="es-MX"/>
        </w:rPr>
      </w:pPr>
      <w:r>
        <w:rPr>
          <w:b/>
          <w:bCs/>
          <w:lang w:val="es-MX"/>
        </w:rPr>
        <w:t>Rectificación de información</w:t>
      </w:r>
      <w:r w:rsidR="00E236C2">
        <w:rPr>
          <w:b/>
          <w:bCs/>
          <w:lang w:val="es-MX"/>
        </w:rPr>
        <w:t xml:space="preserve">: </w:t>
      </w:r>
      <w:r w:rsidR="00E236C2" w:rsidRPr="00CC7E31">
        <w:rPr>
          <w:lang w:val="es-MX"/>
        </w:rPr>
        <w:t>Hasta dos días antes de la</w:t>
      </w:r>
      <w:r w:rsidR="00E236C2">
        <w:rPr>
          <w:lang w:val="es-MX"/>
        </w:rPr>
        <w:t xml:space="preserve"> fecha límite de entrega de documentación, los oferentes interesados podrán remitir rectificaciones de información, ya sea por la identificación de un error en</w:t>
      </w:r>
      <w:r w:rsidR="00450F8E">
        <w:rPr>
          <w:lang w:val="es-MX"/>
        </w:rPr>
        <w:t xml:space="preserve"> el </w:t>
      </w:r>
      <w:r w:rsidR="00E236C2">
        <w:rPr>
          <w:lang w:val="es-MX"/>
        </w:rPr>
        <w:t xml:space="preserve">envío previo de información, o por cambios derivados de las respuestas a inquietudes remitidas a </w:t>
      </w:r>
      <w:proofErr w:type="spellStart"/>
      <w:r w:rsidR="00E236C2">
        <w:rPr>
          <w:lang w:val="es-MX"/>
        </w:rPr>
        <w:t>The</w:t>
      </w:r>
      <w:proofErr w:type="spellEnd"/>
      <w:r w:rsidR="00E236C2">
        <w:rPr>
          <w:lang w:val="es-MX"/>
        </w:rPr>
        <w:t xml:space="preserve"> Mines </w:t>
      </w:r>
      <w:proofErr w:type="spellStart"/>
      <w:r w:rsidR="00E236C2">
        <w:rPr>
          <w:lang w:val="es-MX"/>
        </w:rPr>
        <w:t>Advisory</w:t>
      </w:r>
      <w:proofErr w:type="spellEnd"/>
      <w:r w:rsidR="00E236C2">
        <w:rPr>
          <w:lang w:val="es-MX"/>
        </w:rPr>
        <w:t xml:space="preserve"> </w:t>
      </w:r>
      <w:proofErr w:type="spellStart"/>
      <w:r w:rsidR="00E236C2">
        <w:rPr>
          <w:lang w:val="es-MX"/>
        </w:rPr>
        <w:t>Group</w:t>
      </w:r>
      <w:proofErr w:type="spellEnd"/>
      <w:r w:rsidR="00E236C2">
        <w:rPr>
          <w:lang w:val="es-MX"/>
        </w:rPr>
        <w:t xml:space="preserve">. </w:t>
      </w:r>
    </w:p>
    <w:p w14:paraId="51386480" w14:textId="77777777" w:rsidR="0085051C" w:rsidRPr="0085051C" w:rsidRDefault="0085051C" w:rsidP="0085051C">
      <w:pPr>
        <w:pStyle w:val="ListParagraph"/>
        <w:rPr>
          <w:b/>
          <w:bCs/>
          <w:lang w:val="es-MX"/>
        </w:rPr>
      </w:pPr>
    </w:p>
    <w:p w14:paraId="0CD264E3" w14:textId="77777777" w:rsidR="00450F8E" w:rsidRDefault="0085051C" w:rsidP="0086091E">
      <w:pPr>
        <w:pStyle w:val="ListParagraph"/>
        <w:numPr>
          <w:ilvl w:val="0"/>
          <w:numId w:val="1"/>
        </w:numPr>
        <w:jc w:val="both"/>
        <w:rPr>
          <w:b/>
          <w:bCs/>
          <w:lang w:val="es-MX"/>
        </w:rPr>
      </w:pPr>
      <w:r>
        <w:rPr>
          <w:b/>
          <w:bCs/>
          <w:lang w:val="es-MX"/>
        </w:rPr>
        <w:t xml:space="preserve">Plazo para la entrega de la documentación: </w:t>
      </w:r>
      <w:r>
        <w:rPr>
          <w:lang w:val="es-MX"/>
        </w:rPr>
        <w:t xml:space="preserve">la fecha límite para entrega de información será la que consta en la presente convocatoria. </w:t>
      </w:r>
      <w:proofErr w:type="spellStart"/>
      <w:r>
        <w:rPr>
          <w:lang w:val="es-MX"/>
        </w:rPr>
        <w:t>The</w:t>
      </w:r>
      <w:proofErr w:type="spellEnd"/>
      <w:r>
        <w:rPr>
          <w:lang w:val="es-MX"/>
        </w:rPr>
        <w:t xml:space="preserve"> Mines </w:t>
      </w:r>
      <w:proofErr w:type="spellStart"/>
      <w:r>
        <w:rPr>
          <w:lang w:val="es-MX"/>
        </w:rPr>
        <w:t>Advisory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Group</w:t>
      </w:r>
      <w:proofErr w:type="spellEnd"/>
      <w:r>
        <w:rPr>
          <w:lang w:val="es-MX"/>
        </w:rPr>
        <w:t xml:space="preserve"> podrá extender el plazo máximo de entrega para todos los oferentes. Bajo ningún concepto, se hará concesiones especiales en el plazo de entrega a un grupo exclusivo de oferentes. </w:t>
      </w:r>
    </w:p>
    <w:p w14:paraId="7E74FFE0" w14:textId="77777777" w:rsidR="00450F8E" w:rsidRPr="00450F8E" w:rsidRDefault="00450F8E" w:rsidP="00450F8E">
      <w:pPr>
        <w:pStyle w:val="ListParagraph"/>
        <w:rPr>
          <w:lang w:val="es-MX"/>
        </w:rPr>
      </w:pPr>
    </w:p>
    <w:p w14:paraId="1A616A48" w14:textId="0C3C9FFD" w:rsidR="0086091E" w:rsidRPr="00450F8E" w:rsidRDefault="0086091E" w:rsidP="00450F8E">
      <w:pPr>
        <w:pStyle w:val="ListParagraph"/>
        <w:ind w:left="360"/>
        <w:jc w:val="both"/>
        <w:rPr>
          <w:b/>
          <w:bCs/>
          <w:lang w:val="es-MX"/>
        </w:rPr>
      </w:pPr>
      <w:r w:rsidRPr="00450F8E">
        <w:rPr>
          <w:lang w:val="es-MX"/>
        </w:rPr>
        <w:t xml:space="preserve">La información entregada de manera extemporánea será rechazada de manera inmediata. </w:t>
      </w:r>
    </w:p>
    <w:p w14:paraId="61EFD352" w14:textId="77777777" w:rsidR="0086091E" w:rsidRPr="0086091E" w:rsidRDefault="0086091E" w:rsidP="0086091E">
      <w:pPr>
        <w:pStyle w:val="ListParagraph"/>
        <w:rPr>
          <w:b/>
          <w:bCs/>
          <w:lang w:val="es-MX"/>
        </w:rPr>
      </w:pPr>
    </w:p>
    <w:p w14:paraId="3B8AF9F9" w14:textId="77777777" w:rsidR="00450F8E" w:rsidRDefault="0086091E" w:rsidP="0086091E">
      <w:pPr>
        <w:pStyle w:val="ListParagraph"/>
        <w:numPr>
          <w:ilvl w:val="0"/>
          <w:numId w:val="1"/>
        </w:numPr>
        <w:jc w:val="both"/>
        <w:rPr>
          <w:lang w:val="es-EC"/>
        </w:rPr>
      </w:pPr>
      <w:r w:rsidRPr="0086091E">
        <w:rPr>
          <w:b/>
          <w:bCs/>
          <w:lang w:val="es-MX"/>
        </w:rPr>
        <w:t>Apertura y lectura de documentación:</w:t>
      </w:r>
      <w:r>
        <w:rPr>
          <w:b/>
          <w:bCs/>
          <w:lang w:val="es-MX"/>
        </w:rPr>
        <w:t xml:space="preserve"> </w:t>
      </w:r>
      <w:r>
        <w:rPr>
          <w:lang w:val="es-EC"/>
        </w:rPr>
        <w:t>p</w:t>
      </w:r>
      <w:r w:rsidRPr="0086091E">
        <w:rPr>
          <w:lang w:val="es-EC"/>
        </w:rPr>
        <w:t xml:space="preserve">ara efectos de la apertura y lectura de la información recibida, </w:t>
      </w:r>
      <w:proofErr w:type="spellStart"/>
      <w:r w:rsidRPr="0086091E">
        <w:rPr>
          <w:lang w:val="es-EC"/>
        </w:rPr>
        <w:t>The</w:t>
      </w:r>
      <w:proofErr w:type="spellEnd"/>
      <w:r w:rsidRPr="0086091E">
        <w:rPr>
          <w:lang w:val="es-EC"/>
        </w:rPr>
        <w:t xml:space="preserve"> Mines </w:t>
      </w:r>
      <w:proofErr w:type="spellStart"/>
      <w:r w:rsidRPr="0086091E">
        <w:rPr>
          <w:lang w:val="es-EC"/>
        </w:rPr>
        <w:t>Advisory</w:t>
      </w:r>
      <w:proofErr w:type="spellEnd"/>
      <w:r w:rsidRPr="0086091E">
        <w:rPr>
          <w:lang w:val="es-EC"/>
        </w:rPr>
        <w:t xml:space="preserve"> </w:t>
      </w:r>
      <w:proofErr w:type="spellStart"/>
      <w:r w:rsidRPr="0086091E">
        <w:rPr>
          <w:lang w:val="es-EC"/>
        </w:rPr>
        <w:t>Group</w:t>
      </w:r>
      <w:proofErr w:type="spellEnd"/>
      <w:r w:rsidRPr="0086091E">
        <w:rPr>
          <w:lang w:val="es-EC"/>
        </w:rPr>
        <w:t xml:space="preserve"> creará un comité técnico conformado por tres funcionarios. </w:t>
      </w:r>
    </w:p>
    <w:p w14:paraId="0C63BC1C" w14:textId="77777777" w:rsidR="00450F8E" w:rsidRDefault="00450F8E" w:rsidP="00450F8E">
      <w:pPr>
        <w:pStyle w:val="ListParagraph"/>
        <w:ind w:left="360"/>
        <w:jc w:val="both"/>
        <w:rPr>
          <w:b/>
          <w:bCs/>
          <w:lang w:val="es-EC"/>
        </w:rPr>
      </w:pPr>
    </w:p>
    <w:p w14:paraId="032174CF" w14:textId="5F1FBFF1" w:rsidR="0085051C" w:rsidRPr="00450F8E" w:rsidRDefault="00450F8E" w:rsidP="00450F8E">
      <w:pPr>
        <w:pStyle w:val="ListParagraph"/>
        <w:ind w:left="360"/>
        <w:jc w:val="both"/>
        <w:rPr>
          <w:lang w:val="es-EC"/>
        </w:rPr>
      </w:pPr>
      <w:r>
        <w:rPr>
          <w:lang w:val="es-EC"/>
        </w:rPr>
        <w:t>El comité técnico no tendrá acceso a la información enviada por los interesados</w:t>
      </w:r>
      <w:r w:rsidR="00367BF4">
        <w:rPr>
          <w:lang w:val="es-EC"/>
        </w:rPr>
        <w:t xml:space="preserve"> previo a la culminación del plazo de entrega. Posteriormente, la información será revisada, mas no podrá </w:t>
      </w:r>
      <w:r w:rsidR="0086091E" w:rsidRPr="00450F8E">
        <w:rPr>
          <w:lang w:val="es-EC"/>
        </w:rPr>
        <w:t>ser compartida con ningún otro oferente.</w:t>
      </w:r>
    </w:p>
    <w:p w14:paraId="1C0DC85A" w14:textId="77777777" w:rsidR="000C5486" w:rsidRPr="0086091E" w:rsidRDefault="000C5486" w:rsidP="0085051C">
      <w:pPr>
        <w:pStyle w:val="ListParagraph"/>
        <w:jc w:val="both"/>
        <w:rPr>
          <w:lang w:val="es-EC"/>
        </w:rPr>
      </w:pPr>
    </w:p>
    <w:p w14:paraId="16B7745E" w14:textId="6AFCE469" w:rsidR="00D920B7" w:rsidRPr="0086091E" w:rsidRDefault="00367BF4" w:rsidP="0086091E">
      <w:pPr>
        <w:pStyle w:val="ListParagraph"/>
        <w:numPr>
          <w:ilvl w:val="0"/>
          <w:numId w:val="1"/>
        </w:numPr>
        <w:jc w:val="both"/>
        <w:rPr>
          <w:b/>
          <w:bCs/>
          <w:lang w:val="es-EC"/>
        </w:rPr>
      </w:pPr>
      <w:r>
        <w:rPr>
          <w:b/>
          <w:bCs/>
          <w:lang w:val="es-MX"/>
        </w:rPr>
        <w:t>Conv</w:t>
      </w:r>
      <w:r w:rsidR="0086091E">
        <w:rPr>
          <w:b/>
          <w:bCs/>
          <w:lang w:val="es-MX"/>
        </w:rPr>
        <w:t xml:space="preserve">alidación de errores: </w:t>
      </w:r>
      <w:r w:rsidR="0086091E">
        <w:rPr>
          <w:lang w:val="es-MX"/>
        </w:rPr>
        <w:t xml:space="preserve">el comité técnico de </w:t>
      </w:r>
      <w:proofErr w:type="spellStart"/>
      <w:r w:rsidR="0086091E">
        <w:rPr>
          <w:lang w:val="es-MX"/>
        </w:rPr>
        <w:t>The</w:t>
      </w:r>
      <w:proofErr w:type="spellEnd"/>
      <w:r w:rsidR="0086091E">
        <w:rPr>
          <w:lang w:val="es-MX"/>
        </w:rPr>
        <w:t xml:space="preserve"> Mines </w:t>
      </w:r>
      <w:proofErr w:type="spellStart"/>
      <w:r w:rsidR="0086091E">
        <w:rPr>
          <w:lang w:val="es-MX"/>
        </w:rPr>
        <w:t>Advisory</w:t>
      </w:r>
      <w:proofErr w:type="spellEnd"/>
      <w:r w:rsidR="0086091E">
        <w:rPr>
          <w:lang w:val="es-MX"/>
        </w:rPr>
        <w:t xml:space="preserve"> </w:t>
      </w:r>
      <w:proofErr w:type="spellStart"/>
      <w:r w:rsidR="0086091E">
        <w:rPr>
          <w:lang w:val="es-MX"/>
        </w:rPr>
        <w:t>Group</w:t>
      </w:r>
      <w:proofErr w:type="spellEnd"/>
      <w:r w:rsidR="0086091E">
        <w:rPr>
          <w:lang w:val="es-MX"/>
        </w:rPr>
        <w:t xml:space="preserve"> podrá solicitar la </w:t>
      </w:r>
      <w:r>
        <w:rPr>
          <w:lang w:val="es-MX"/>
        </w:rPr>
        <w:t>con</w:t>
      </w:r>
      <w:r w:rsidR="0086091E">
        <w:rPr>
          <w:lang w:val="es-MX"/>
        </w:rPr>
        <w:t xml:space="preserve">validación de errores o clarificación de información a los oferentes interesados.  </w:t>
      </w:r>
      <w:r>
        <w:rPr>
          <w:lang w:val="es-MX"/>
        </w:rPr>
        <w:t>Las con</w:t>
      </w:r>
      <w:r w:rsidR="0086091E">
        <w:rPr>
          <w:lang w:val="es-MX"/>
        </w:rPr>
        <w:t xml:space="preserve">validaciones no podrán </w:t>
      </w:r>
      <w:r>
        <w:rPr>
          <w:lang w:val="es-MX"/>
        </w:rPr>
        <w:t>estar relacionadas a</w:t>
      </w:r>
      <w:r w:rsidR="0086091E">
        <w:rPr>
          <w:lang w:val="es-MX"/>
        </w:rPr>
        <w:t xml:space="preserve"> cambios sustanciales en las propuestas, o la alteración de cifras que no suponga la remediación de errores aritméticos identificados.</w:t>
      </w:r>
    </w:p>
    <w:p w14:paraId="0B2B899F" w14:textId="77777777" w:rsidR="0086091E" w:rsidRPr="0086091E" w:rsidRDefault="0086091E" w:rsidP="0086091E">
      <w:pPr>
        <w:pStyle w:val="ListParagraph"/>
        <w:jc w:val="both"/>
        <w:rPr>
          <w:b/>
          <w:bCs/>
          <w:lang w:val="es-EC"/>
        </w:rPr>
      </w:pPr>
    </w:p>
    <w:p w14:paraId="56E60BBD" w14:textId="3CB92880" w:rsidR="00001ED8" w:rsidRPr="00001ED8" w:rsidRDefault="0086091E" w:rsidP="0086091E">
      <w:pPr>
        <w:pStyle w:val="ListParagraph"/>
        <w:numPr>
          <w:ilvl w:val="0"/>
          <w:numId w:val="1"/>
        </w:numPr>
        <w:jc w:val="both"/>
        <w:rPr>
          <w:b/>
          <w:bCs/>
          <w:lang w:val="es-EC"/>
        </w:rPr>
      </w:pPr>
      <w:r w:rsidRPr="0086091E">
        <w:rPr>
          <w:b/>
          <w:bCs/>
          <w:lang w:val="es-MX"/>
        </w:rPr>
        <w:lastRenderedPageBreak/>
        <w:t>Pre-</w:t>
      </w:r>
      <w:r w:rsidRPr="0086091E">
        <w:rPr>
          <w:b/>
          <w:bCs/>
          <w:lang w:val="es-EC"/>
        </w:rPr>
        <w:t xml:space="preserve">selección de proveedores: </w:t>
      </w:r>
      <w:r w:rsidRPr="0086091E">
        <w:rPr>
          <w:lang w:val="es-EC"/>
        </w:rPr>
        <w:t xml:space="preserve">la </w:t>
      </w:r>
      <w:proofErr w:type="spellStart"/>
      <w:r w:rsidRPr="0086091E">
        <w:rPr>
          <w:lang w:val="es-EC"/>
        </w:rPr>
        <w:t>pre</w:t>
      </w:r>
      <w:r w:rsidR="00367BF4">
        <w:rPr>
          <w:lang w:val="es-EC"/>
        </w:rPr>
        <w:t>-</w:t>
      </w:r>
      <w:r w:rsidRPr="0086091E">
        <w:rPr>
          <w:lang w:val="es-EC"/>
        </w:rPr>
        <w:t>selección</w:t>
      </w:r>
      <w:proofErr w:type="spellEnd"/>
      <w:r w:rsidRPr="0086091E">
        <w:rPr>
          <w:lang w:val="es-EC"/>
        </w:rPr>
        <w:t xml:space="preserve"> de proveedores para procesos de subastas restringid</w:t>
      </w:r>
      <w:r w:rsidR="00367BF4">
        <w:rPr>
          <w:lang w:val="es-EC"/>
        </w:rPr>
        <w:t>a</w:t>
      </w:r>
      <w:r w:rsidRPr="0086091E">
        <w:rPr>
          <w:lang w:val="es-EC"/>
        </w:rPr>
        <w:t xml:space="preserve">s contará con dos fases de calificación; la primera evaluará criterios mínimos obligatorios, y la segunda determinará los procesos en los que los proveedores precalificados podrán participar. Ningún oferente podrá ser </w:t>
      </w:r>
      <w:proofErr w:type="spellStart"/>
      <w:r w:rsidRPr="0086091E">
        <w:rPr>
          <w:lang w:val="es-EC"/>
        </w:rPr>
        <w:t>pre-seleccionado</w:t>
      </w:r>
      <w:proofErr w:type="spellEnd"/>
      <w:r w:rsidRPr="0086091E">
        <w:rPr>
          <w:lang w:val="es-EC"/>
        </w:rPr>
        <w:t>, de no cumplir satisfactoriamente con la primera fase de calificación</w:t>
      </w:r>
      <w:r w:rsidR="00001ED8">
        <w:rPr>
          <w:lang w:val="es-EC"/>
        </w:rPr>
        <w:t>.</w:t>
      </w:r>
    </w:p>
    <w:p w14:paraId="525D28F4" w14:textId="77777777" w:rsidR="00001ED8" w:rsidRPr="00001ED8" w:rsidRDefault="00001ED8" w:rsidP="00001ED8">
      <w:pPr>
        <w:pStyle w:val="ListParagraph"/>
        <w:rPr>
          <w:lang w:val="es-EC"/>
        </w:rPr>
      </w:pPr>
    </w:p>
    <w:p w14:paraId="5FA4DC89" w14:textId="6D4D0B4A" w:rsidR="007F00BE" w:rsidRPr="007F00BE" w:rsidRDefault="00001ED8" w:rsidP="007F00BE">
      <w:pPr>
        <w:pStyle w:val="ListParagraph"/>
        <w:numPr>
          <w:ilvl w:val="1"/>
          <w:numId w:val="1"/>
        </w:numPr>
        <w:jc w:val="both"/>
        <w:rPr>
          <w:b/>
          <w:bCs/>
          <w:lang w:val="es-EC"/>
        </w:rPr>
      </w:pPr>
      <w:r w:rsidRPr="00001ED8">
        <w:rPr>
          <w:b/>
          <w:bCs/>
          <w:lang w:val="es-EC"/>
        </w:rPr>
        <w:t>Criterios mínimos de calificación (primera fase)</w:t>
      </w:r>
      <w:r w:rsidR="007F00BE">
        <w:rPr>
          <w:b/>
          <w:bCs/>
          <w:lang w:val="es-EC"/>
        </w:rPr>
        <w:t xml:space="preserve">: </w:t>
      </w:r>
      <w:r w:rsidR="007F00BE" w:rsidRPr="007F00BE">
        <w:rPr>
          <w:lang w:val="es-EC"/>
        </w:rPr>
        <w:t>para cumplir con la primera fase de calificación, los oferentes interesados deberán demostrar</w:t>
      </w:r>
      <w:r w:rsidR="00E43D5A">
        <w:rPr>
          <w:lang w:val="es-EC"/>
        </w:rPr>
        <w:t xml:space="preserve"> el cumplimiento estricto de</w:t>
      </w:r>
      <w:r w:rsidR="007F00BE" w:rsidRPr="007F00BE">
        <w:rPr>
          <w:lang w:val="es-EC"/>
        </w:rPr>
        <w:t xml:space="preserve"> lo siguiente:</w:t>
      </w:r>
    </w:p>
    <w:p w14:paraId="52AD59D2" w14:textId="77777777" w:rsidR="007F00BE" w:rsidRPr="007F00BE" w:rsidRDefault="007F00BE" w:rsidP="007F00BE">
      <w:pPr>
        <w:pStyle w:val="ListParagraph"/>
        <w:numPr>
          <w:ilvl w:val="2"/>
          <w:numId w:val="1"/>
        </w:numPr>
        <w:jc w:val="both"/>
        <w:rPr>
          <w:b/>
          <w:bCs/>
          <w:lang w:val="es-EC"/>
        </w:rPr>
      </w:pPr>
      <w:r>
        <w:rPr>
          <w:lang w:val="es-EC"/>
        </w:rPr>
        <w:t>Contar con el Registro Único de Contribuyentes (RUC) activo</w:t>
      </w:r>
    </w:p>
    <w:p w14:paraId="5F5BB643" w14:textId="77777777" w:rsidR="007F00BE" w:rsidRDefault="007F00BE" w:rsidP="007F00BE">
      <w:pPr>
        <w:pStyle w:val="ListParagraph"/>
        <w:numPr>
          <w:ilvl w:val="2"/>
          <w:numId w:val="1"/>
        </w:numPr>
        <w:jc w:val="both"/>
        <w:rPr>
          <w:b/>
          <w:bCs/>
          <w:lang w:val="es-EC"/>
        </w:rPr>
      </w:pPr>
      <w:r>
        <w:rPr>
          <w:lang w:val="es-EC"/>
        </w:rPr>
        <w:t>Demostrar no tener deudas con el Servicio de Rentas (SRI)</w:t>
      </w:r>
    </w:p>
    <w:p w14:paraId="5C6C1489" w14:textId="77777777" w:rsidR="007F00BE" w:rsidRPr="007F00BE" w:rsidRDefault="007F00BE" w:rsidP="007F00BE">
      <w:pPr>
        <w:pStyle w:val="ListParagraph"/>
        <w:numPr>
          <w:ilvl w:val="2"/>
          <w:numId w:val="1"/>
        </w:numPr>
        <w:jc w:val="both"/>
        <w:rPr>
          <w:b/>
          <w:bCs/>
          <w:lang w:val="es-EC"/>
        </w:rPr>
      </w:pPr>
      <w:r>
        <w:rPr>
          <w:lang w:val="es-EC"/>
        </w:rPr>
        <w:t>Demostrar no tener moras patronales con el Instituto Ecuatoriano de Seguridad Social (IESS)</w:t>
      </w:r>
    </w:p>
    <w:p w14:paraId="395CB0B3" w14:textId="77777777" w:rsidR="007F00BE" w:rsidRPr="007F00BE" w:rsidRDefault="007F00BE" w:rsidP="007F00BE">
      <w:pPr>
        <w:pStyle w:val="ListParagraph"/>
        <w:numPr>
          <w:ilvl w:val="2"/>
          <w:numId w:val="1"/>
        </w:numPr>
        <w:jc w:val="both"/>
        <w:rPr>
          <w:b/>
          <w:bCs/>
          <w:lang w:val="es-EC"/>
        </w:rPr>
      </w:pPr>
      <w:r>
        <w:rPr>
          <w:lang w:val="es-EC"/>
        </w:rPr>
        <w:t>Demostrar no ser contratista incumplido del Servicio Ecuatoriano de Contratación Pública (SERCOP)</w:t>
      </w:r>
    </w:p>
    <w:p w14:paraId="50D03C44" w14:textId="69703C87" w:rsidR="007F00BE" w:rsidRPr="003152FF" w:rsidRDefault="007F00BE" w:rsidP="003152FF">
      <w:pPr>
        <w:pStyle w:val="ListParagraph"/>
        <w:numPr>
          <w:ilvl w:val="2"/>
          <w:numId w:val="1"/>
        </w:numPr>
        <w:jc w:val="both"/>
        <w:rPr>
          <w:b/>
          <w:bCs/>
          <w:lang w:val="es-EC"/>
        </w:rPr>
      </w:pPr>
      <w:r>
        <w:rPr>
          <w:lang w:val="es-EC"/>
        </w:rPr>
        <w:t>Demostrar no tener procesos jurídicos sentenciados en la función judicial por estafa o perjurios</w:t>
      </w:r>
    </w:p>
    <w:p w14:paraId="0ADEDE33" w14:textId="2C81EF46" w:rsidR="00E43D5A" w:rsidRDefault="007F00BE" w:rsidP="00001ED8">
      <w:pPr>
        <w:pStyle w:val="ListParagraph"/>
        <w:numPr>
          <w:ilvl w:val="1"/>
          <w:numId w:val="1"/>
        </w:numPr>
        <w:jc w:val="both"/>
        <w:rPr>
          <w:b/>
          <w:bCs/>
          <w:lang w:val="es-EC"/>
        </w:rPr>
      </w:pPr>
      <w:r>
        <w:rPr>
          <w:b/>
          <w:bCs/>
          <w:lang w:val="es-EC"/>
        </w:rPr>
        <w:t>Criterios de calificación para procesos de subasta restringid</w:t>
      </w:r>
      <w:r w:rsidR="00367BF4">
        <w:rPr>
          <w:b/>
          <w:bCs/>
          <w:lang w:val="es-EC"/>
        </w:rPr>
        <w:t>a</w:t>
      </w:r>
      <w:r>
        <w:rPr>
          <w:b/>
          <w:bCs/>
          <w:lang w:val="es-EC"/>
        </w:rPr>
        <w:t>s (segunda fase):</w:t>
      </w:r>
      <w:r w:rsidR="00001ED8">
        <w:rPr>
          <w:lang w:val="es-EC"/>
        </w:rPr>
        <w:t xml:space="preserve"> </w:t>
      </w:r>
      <w:r w:rsidR="0086091E" w:rsidRPr="0086091E">
        <w:rPr>
          <w:lang w:val="es-EC"/>
        </w:rPr>
        <w:t xml:space="preserve"> </w:t>
      </w:r>
      <w:r w:rsidR="00E43D5A">
        <w:rPr>
          <w:lang w:val="es-EC"/>
        </w:rPr>
        <w:t xml:space="preserve">una vez determinados los oferentes interesados que cumplen con la primera fase de calificación, el Comité Técnico de Mines </w:t>
      </w:r>
      <w:proofErr w:type="spellStart"/>
      <w:r w:rsidR="00E43D5A">
        <w:rPr>
          <w:lang w:val="es-EC"/>
        </w:rPr>
        <w:t>Advisory</w:t>
      </w:r>
      <w:proofErr w:type="spellEnd"/>
      <w:r w:rsidR="00E43D5A">
        <w:rPr>
          <w:lang w:val="es-EC"/>
        </w:rPr>
        <w:t xml:space="preserve"> </w:t>
      </w:r>
      <w:proofErr w:type="spellStart"/>
      <w:r w:rsidR="00E43D5A">
        <w:rPr>
          <w:lang w:val="es-EC"/>
        </w:rPr>
        <w:t>Group</w:t>
      </w:r>
      <w:proofErr w:type="spellEnd"/>
      <w:r w:rsidR="00E43D5A">
        <w:rPr>
          <w:lang w:val="es-EC"/>
        </w:rPr>
        <w:t xml:space="preserve"> sistematizará la información remitida por cada oferente, con el fin de invitar a los mismos a procesos de subasta restringid</w:t>
      </w:r>
      <w:r w:rsidR="00367BF4">
        <w:rPr>
          <w:lang w:val="es-EC"/>
        </w:rPr>
        <w:t>a</w:t>
      </w:r>
      <w:r w:rsidR="00E43D5A">
        <w:rPr>
          <w:lang w:val="es-EC"/>
        </w:rPr>
        <w:t>s, toda vez que cumplan los siguientes criterios:</w:t>
      </w:r>
    </w:p>
    <w:p w14:paraId="38FC8675" w14:textId="3E686D40" w:rsidR="00E43D5A" w:rsidRDefault="00E43D5A" w:rsidP="00E43D5A">
      <w:pPr>
        <w:pStyle w:val="ListParagraph"/>
        <w:ind w:left="792"/>
        <w:jc w:val="both"/>
        <w:rPr>
          <w:b/>
          <w:bCs/>
          <w:lang w:val="es-EC"/>
        </w:rPr>
      </w:pP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2530"/>
        <w:gridCol w:w="2593"/>
        <w:gridCol w:w="2579"/>
      </w:tblGrid>
      <w:tr w:rsidR="00E43D5A" w14:paraId="5AE37F29" w14:textId="77777777" w:rsidTr="00E43D5A">
        <w:tc>
          <w:tcPr>
            <w:tcW w:w="2831" w:type="dxa"/>
          </w:tcPr>
          <w:p w14:paraId="794EB6CA" w14:textId="69239D95" w:rsidR="00E43D5A" w:rsidRDefault="00E43D5A" w:rsidP="00E43D5A">
            <w:pPr>
              <w:pStyle w:val="ListParagraph"/>
              <w:ind w:left="0"/>
              <w:jc w:val="both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>Parámetro</w:t>
            </w:r>
          </w:p>
        </w:tc>
        <w:tc>
          <w:tcPr>
            <w:tcW w:w="2831" w:type="dxa"/>
          </w:tcPr>
          <w:p w14:paraId="5BC75D11" w14:textId="190D0AC1" w:rsidR="00E43D5A" w:rsidRDefault="00E43D5A" w:rsidP="00E43D5A">
            <w:pPr>
              <w:pStyle w:val="ListParagraph"/>
              <w:ind w:left="0"/>
              <w:jc w:val="both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>Descripción</w:t>
            </w:r>
          </w:p>
        </w:tc>
        <w:tc>
          <w:tcPr>
            <w:tcW w:w="2832" w:type="dxa"/>
          </w:tcPr>
          <w:p w14:paraId="0A4A2E6B" w14:textId="3BDB3D09" w:rsidR="00E43D5A" w:rsidRDefault="00E43D5A" w:rsidP="00E43D5A">
            <w:pPr>
              <w:pStyle w:val="ListParagraph"/>
              <w:ind w:left="0"/>
              <w:jc w:val="both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>Método de calificación</w:t>
            </w:r>
          </w:p>
        </w:tc>
      </w:tr>
      <w:tr w:rsidR="00E43D5A" w:rsidRPr="00301095" w14:paraId="14165476" w14:textId="77777777" w:rsidTr="00E43D5A">
        <w:tc>
          <w:tcPr>
            <w:tcW w:w="2831" w:type="dxa"/>
          </w:tcPr>
          <w:p w14:paraId="64921BE3" w14:textId="45ABFB0D" w:rsidR="00E43D5A" w:rsidRDefault="00E43D5A" w:rsidP="00E43D5A">
            <w:pPr>
              <w:pStyle w:val="ListParagraph"/>
              <w:ind w:left="0"/>
              <w:jc w:val="both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>Experiencia general de la empresa</w:t>
            </w:r>
          </w:p>
        </w:tc>
        <w:tc>
          <w:tcPr>
            <w:tcW w:w="2831" w:type="dxa"/>
          </w:tcPr>
          <w:p w14:paraId="5444C50E" w14:textId="77638B9E" w:rsidR="00E43D5A" w:rsidRPr="00AD040E" w:rsidRDefault="00E43D5A" w:rsidP="000C5486">
            <w:pPr>
              <w:pStyle w:val="ListParagraph"/>
              <w:ind w:left="0"/>
              <w:jc w:val="both"/>
              <w:rPr>
                <w:lang w:val="es-EC"/>
              </w:rPr>
            </w:pPr>
            <w:r w:rsidRPr="00AD040E">
              <w:rPr>
                <w:lang w:val="es-EC"/>
              </w:rPr>
              <w:t xml:space="preserve">Haber ejecutado </w:t>
            </w:r>
            <w:r w:rsidR="00815B53" w:rsidRPr="00AD040E">
              <w:rPr>
                <w:lang w:val="es-EC"/>
              </w:rPr>
              <w:t xml:space="preserve">(hasta) 10 </w:t>
            </w:r>
            <w:r w:rsidRPr="00AD040E">
              <w:rPr>
                <w:lang w:val="es-EC"/>
              </w:rPr>
              <w:t xml:space="preserve">contratos en los últimos cinco años, por </w:t>
            </w:r>
            <w:r w:rsidR="00815B53" w:rsidRPr="00AD040E">
              <w:rPr>
                <w:lang w:val="es-EC"/>
              </w:rPr>
              <w:t>un valor acumulado de</w:t>
            </w:r>
            <w:r w:rsidR="006F5030">
              <w:rPr>
                <w:lang w:val="es-EC"/>
              </w:rPr>
              <w:t xml:space="preserve"> al menos</w:t>
            </w:r>
            <w:r w:rsidR="00815B53" w:rsidRPr="00AD040E">
              <w:rPr>
                <w:lang w:val="es-EC"/>
              </w:rPr>
              <w:t xml:space="preserve"> USD </w:t>
            </w:r>
            <w:r w:rsidR="006F5030">
              <w:rPr>
                <w:lang w:val="es-EC"/>
              </w:rPr>
              <w:t>1</w:t>
            </w:r>
            <w:r w:rsidR="00815B53" w:rsidRPr="00AD040E">
              <w:rPr>
                <w:lang w:val="es-EC"/>
              </w:rPr>
              <w:t xml:space="preserve">00.000 </w:t>
            </w:r>
          </w:p>
        </w:tc>
        <w:tc>
          <w:tcPr>
            <w:tcW w:w="2832" w:type="dxa"/>
          </w:tcPr>
          <w:p w14:paraId="6D489202" w14:textId="76B98C5B" w:rsidR="00E43D5A" w:rsidRPr="00E43D5A" w:rsidRDefault="00407DF3" w:rsidP="00E43D5A">
            <w:pPr>
              <w:pStyle w:val="ListParagraph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>Cumple/no cumple</w:t>
            </w:r>
          </w:p>
        </w:tc>
      </w:tr>
      <w:tr w:rsidR="00E43D5A" w:rsidRPr="00301095" w14:paraId="5427E63B" w14:textId="77777777" w:rsidTr="00E43D5A">
        <w:tc>
          <w:tcPr>
            <w:tcW w:w="2831" w:type="dxa"/>
          </w:tcPr>
          <w:p w14:paraId="37B2DE8D" w14:textId="39C718E7" w:rsidR="00E43D5A" w:rsidRDefault="00E43D5A" w:rsidP="00E43D5A">
            <w:pPr>
              <w:pStyle w:val="ListParagraph"/>
              <w:ind w:left="0"/>
              <w:jc w:val="both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>Experiencia específica de la empresa</w:t>
            </w:r>
          </w:p>
        </w:tc>
        <w:tc>
          <w:tcPr>
            <w:tcW w:w="2831" w:type="dxa"/>
          </w:tcPr>
          <w:p w14:paraId="64109D17" w14:textId="40F03165" w:rsidR="00E43D5A" w:rsidRDefault="00815B53" w:rsidP="006F5030">
            <w:pPr>
              <w:pStyle w:val="ListParagraph"/>
              <w:ind w:left="0"/>
              <w:jc w:val="both"/>
              <w:rPr>
                <w:b/>
                <w:bCs/>
                <w:lang w:val="es-EC"/>
              </w:rPr>
            </w:pPr>
            <w:r w:rsidRPr="00E43D5A">
              <w:rPr>
                <w:lang w:val="es-EC"/>
              </w:rPr>
              <w:t xml:space="preserve">Haber ejecutado </w:t>
            </w:r>
            <w:r>
              <w:rPr>
                <w:lang w:val="es-EC"/>
              </w:rPr>
              <w:t xml:space="preserve">(hasta) 10 </w:t>
            </w:r>
            <w:r w:rsidRPr="00E43D5A">
              <w:rPr>
                <w:lang w:val="es-EC"/>
              </w:rPr>
              <w:t>contratos en los últimos cinco años</w:t>
            </w:r>
            <w:r>
              <w:rPr>
                <w:lang w:val="es-EC"/>
              </w:rPr>
              <w:t>,</w:t>
            </w:r>
            <w:r w:rsidRPr="00E43D5A">
              <w:rPr>
                <w:lang w:val="es-EC"/>
              </w:rPr>
              <w:t xml:space="preserve"> por </w:t>
            </w:r>
            <w:r>
              <w:rPr>
                <w:lang w:val="es-EC"/>
              </w:rPr>
              <w:t xml:space="preserve">un valor acumulado de USD </w:t>
            </w:r>
            <w:r w:rsidR="006F5030">
              <w:rPr>
                <w:lang w:val="es-EC"/>
              </w:rPr>
              <w:t>50</w:t>
            </w:r>
            <w:r>
              <w:rPr>
                <w:lang w:val="es-EC"/>
              </w:rPr>
              <w:t>.000 en al menos uno de los campos específicos definidos</w:t>
            </w:r>
          </w:p>
        </w:tc>
        <w:tc>
          <w:tcPr>
            <w:tcW w:w="2832" w:type="dxa"/>
          </w:tcPr>
          <w:p w14:paraId="6C675B56" w14:textId="1175021B" w:rsidR="00E43D5A" w:rsidRDefault="00407DF3" w:rsidP="00E43D5A">
            <w:pPr>
              <w:pStyle w:val="ListParagraph"/>
              <w:ind w:left="0"/>
              <w:jc w:val="both"/>
              <w:rPr>
                <w:b/>
                <w:bCs/>
                <w:lang w:val="es-EC"/>
              </w:rPr>
            </w:pPr>
            <w:r>
              <w:rPr>
                <w:lang w:val="es-EC"/>
              </w:rPr>
              <w:t>Cumple/no cumple</w:t>
            </w:r>
          </w:p>
        </w:tc>
      </w:tr>
      <w:tr w:rsidR="00E43D5A" w:rsidRPr="005703B2" w14:paraId="6653FA9F" w14:textId="77777777" w:rsidTr="00E43D5A">
        <w:tc>
          <w:tcPr>
            <w:tcW w:w="2831" w:type="dxa"/>
          </w:tcPr>
          <w:p w14:paraId="19B8462B" w14:textId="5523A3E9" w:rsidR="00E43D5A" w:rsidRDefault="00BB2E71" w:rsidP="00E43D5A">
            <w:pPr>
              <w:pStyle w:val="ListParagraph"/>
              <w:ind w:left="0"/>
              <w:jc w:val="both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>Experiencia personal técnico</w:t>
            </w:r>
          </w:p>
        </w:tc>
        <w:tc>
          <w:tcPr>
            <w:tcW w:w="2831" w:type="dxa"/>
          </w:tcPr>
          <w:p w14:paraId="4D68A634" w14:textId="3DDBC34B" w:rsidR="00E43D5A" w:rsidRPr="00BB2E71" w:rsidRDefault="00BB2E71" w:rsidP="00E43D5A">
            <w:pPr>
              <w:pStyle w:val="ListParagraph"/>
              <w:ind w:left="0"/>
              <w:jc w:val="both"/>
              <w:rPr>
                <w:lang w:val="es-EC"/>
              </w:rPr>
            </w:pPr>
            <w:r w:rsidRPr="00BB2E71">
              <w:rPr>
                <w:lang w:val="es-EC"/>
              </w:rPr>
              <w:t>Contar con el personal técnico que cumpla los requerimientos para cada contrato a concursarse mediante subasta</w:t>
            </w:r>
          </w:p>
        </w:tc>
        <w:tc>
          <w:tcPr>
            <w:tcW w:w="2832" w:type="dxa"/>
          </w:tcPr>
          <w:p w14:paraId="42BCF6C7" w14:textId="0317E0D7" w:rsidR="00E43D5A" w:rsidRPr="00BB2E71" w:rsidRDefault="00407DF3" w:rsidP="00E43D5A">
            <w:pPr>
              <w:pStyle w:val="ListParagraph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N/A (a considerarse en el pool de candidatos </w:t>
            </w:r>
            <w:proofErr w:type="spellStart"/>
            <w:r>
              <w:rPr>
                <w:lang w:val="es-EC"/>
              </w:rPr>
              <w:t>pre-seleccionados</w:t>
            </w:r>
            <w:proofErr w:type="spellEnd"/>
            <w:r>
              <w:rPr>
                <w:lang w:val="es-EC"/>
              </w:rPr>
              <w:t>, en función de cada subasta en el futuro)</w:t>
            </w:r>
          </w:p>
        </w:tc>
      </w:tr>
      <w:tr w:rsidR="00E43D5A" w:rsidRPr="005703B2" w14:paraId="24361D13" w14:textId="77777777" w:rsidTr="00E43D5A">
        <w:tc>
          <w:tcPr>
            <w:tcW w:w="2831" w:type="dxa"/>
          </w:tcPr>
          <w:p w14:paraId="3EC286CB" w14:textId="4B205697" w:rsidR="00E43D5A" w:rsidRDefault="00BB2E71" w:rsidP="00E43D5A">
            <w:pPr>
              <w:pStyle w:val="ListParagraph"/>
              <w:ind w:left="0"/>
              <w:jc w:val="both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t>Activos de la empresa</w:t>
            </w:r>
          </w:p>
        </w:tc>
        <w:tc>
          <w:tcPr>
            <w:tcW w:w="2831" w:type="dxa"/>
          </w:tcPr>
          <w:p w14:paraId="47B9FC34" w14:textId="4B75F190" w:rsidR="00E43D5A" w:rsidRPr="00BB2E71" w:rsidRDefault="00BB2E71" w:rsidP="00E43D5A">
            <w:pPr>
              <w:pStyle w:val="ListParagraph"/>
              <w:ind w:left="0"/>
              <w:jc w:val="both"/>
              <w:rPr>
                <w:lang w:val="es-EC"/>
              </w:rPr>
            </w:pPr>
            <w:r w:rsidRPr="00BB2E71">
              <w:rPr>
                <w:lang w:val="es-EC"/>
              </w:rPr>
              <w:t>Contar con los activos necesarios para cada contrato a concursarse mediante subasta</w:t>
            </w:r>
          </w:p>
        </w:tc>
        <w:tc>
          <w:tcPr>
            <w:tcW w:w="2832" w:type="dxa"/>
          </w:tcPr>
          <w:p w14:paraId="450D244B" w14:textId="7E648F14" w:rsidR="00E43D5A" w:rsidRPr="00BB2E71" w:rsidRDefault="00407DF3" w:rsidP="00E43D5A">
            <w:pPr>
              <w:pStyle w:val="ListParagraph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N/A (a considerarse en el pool de candidatos </w:t>
            </w:r>
            <w:proofErr w:type="spellStart"/>
            <w:r>
              <w:rPr>
                <w:lang w:val="es-EC"/>
              </w:rPr>
              <w:t>pre-seleccionados</w:t>
            </w:r>
            <w:proofErr w:type="spellEnd"/>
            <w:r>
              <w:rPr>
                <w:lang w:val="es-EC"/>
              </w:rPr>
              <w:t>, en función de cada subasta en el futuro)</w:t>
            </w:r>
          </w:p>
        </w:tc>
      </w:tr>
      <w:tr w:rsidR="00BB2E71" w:rsidRPr="005703B2" w14:paraId="5392BE6E" w14:textId="77777777" w:rsidTr="00E43D5A">
        <w:tc>
          <w:tcPr>
            <w:tcW w:w="2831" w:type="dxa"/>
          </w:tcPr>
          <w:p w14:paraId="44BCEBAE" w14:textId="787E7039" w:rsidR="00BB2E71" w:rsidRDefault="00BB2E71" w:rsidP="00E43D5A">
            <w:pPr>
              <w:pStyle w:val="ListParagraph"/>
              <w:ind w:left="0"/>
              <w:jc w:val="both"/>
              <w:rPr>
                <w:b/>
                <w:bCs/>
                <w:lang w:val="es-EC"/>
              </w:rPr>
            </w:pPr>
            <w:r>
              <w:rPr>
                <w:b/>
                <w:bCs/>
                <w:lang w:val="es-EC"/>
              </w:rPr>
              <w:lastRenderedPageBreak/>
              <w:t>Liquidez</w:t>
            </w:r>
          </w:p>
        </w:tc>
        <w:tc>
          <w:tcPr>
            <w:tcW w:w="2831" w:type="dxa"/>
          </w:tcPr>
          <w:p w14:paraId="1EAA43BD" w14:textId="5E7552BC" w:rsidR="00BB2E71" w:rsidRPr="00BB2E71" w:rsidRDefault="00BB2E71" w:rsidP="00E43D5A">
            <w:pPr>
              <w:pStyle w:val="ListParagraph"/>
              <w:ind w:left="0"/>
              <w:jc w:val="both"/>
              <w:rPr>
                <w:lang w:val="es-EC"/>
              </w:rPr>
            </w:pPr>
            <w:r w:rsidRPr="00BB2E71">
              <w:rPr>
                <w:lang w:val="es-EC"/>
              </w:rPr>
              <w:t>Contar con la liquidez y el capital de trabajo necesarios para afrontar cada contrato a concursarse mediante subasta</w:t>
            </w:r>
          </w:p>
        </w:tc>
        <w:tc>
          <w:tcPr>
            <w:tcW w:w="2832" w:type="dxa"/>
          </w:tcPr>
          <w:p w14:paraId="04F55A38" w14:textId="01BDD6CC" w:rsidR="00BB2E71" w:rsidRPr="00BB2E71" w:rsidRDefault="00407DF3" w:rsidP="00E43D5A">
            <w:pPr>
              <w:pStyle w:val="ListParagraph"/>
              <w:ind w:left="0"/>
              <w:jc w:val="both"/>
              <w:rPr>
                <w:lang w:val="es-EC"/>
              </w:rPr>
            </w:pPr>
            <w:r>
              <w:rPr>
                <w:lang w:val="es-EC"/>
              </w:rPr>
              <w:t xml:space="preserve">N/A (a considerarse en el pool de candidatos </w:t>
            </w:r>
            <w:proofErr w:type="spellStart"/>
            <w:r>
              <w:rPr>
                <w:lang w:val="es-EC"/>
              </w:rPr>
              <w:t>pre-seleccionados</w:t>
            </w:r>
            <w:proofErr w:type="spellEnd"/>
            <w:r>
              <w:rPr>
                <w:lang w:val="es-EC"/>
              </w:rPr>
              <w:t>, en función de cada subasta en el futuro)</w:t>
            </w:r>
          </w:p>
        </w:tc>
      </w:tr>
    </w:tbl>
    <w:p w14:paraId="4734104F" w14:textId="77777777" w:rsidR="00E43D5A" w:rsidRDefault="00E43D5A" w:rsidP="00E43D5A">
      <w:pPr>
        <w:pStyle w:val="ListParagraph"/>
        <w:ind w:left="792"/>
        <w:jc w:val="both"/>
        <w:rPr>
          <w:b/>
          <w:bCs/>
          <w:lang w:val="es-EC"/>
        </w:rPr>
      </w:pPr>
    </w:p>
    <w:p w14:paraId="1B22BCD7" w14:textId="1EB3327D" w:rsidR="00E43D5A" w:rsidRDefault="00E43D5A" w:rsidP="00E43D5A">
      <w:pPr>
        <w:pStyle w:val="ListParagraph"/>
        <w:ind w:left="792"/>
        <w:jc w:val="both"/>
        <w:rPr>
          <w:b/>
          <w:bCs/>
          <w:lang w:val="es-EC"/>
        </w:rPr>
      </w:pPr>
    </w:p>
    <w:p w14:paraId="5D2777D8" w14:textId="1377BF84" w:rsidR="00BB2E71" w:rsidRPr="00BB2E71" w:rsidRDefault="00BB2E71" w:rsidP="0086091E">
      <w:pPr>
        <w:pStyle w:val="ListParagraph"/>
        <w:numPr>
          <w:ilvl w:val="0"/>
          <w:numId w:val="1"/>
        </w:numPr>
        <w:jc w:val="both"/>
        <w:rPr>
          <w:b/>
          <w:bCs/>
          <w:lang w:val="es-EC"/>
        </w:rPr>
      </w:pPr>
      <w:r>
        <w:rPr>
          <w:b/>
          <w:bCs/>
          <w:lang w:val="es-EC"/>
        </w:rPr>
        <w:t xml:space="preserve">Notificación de preselección: </w:t>
      </w:r>
      <w:proofErr w:type="spellStart"/>
      <w:r>
        <w:rPr>
          <w:lang w:val="es-EC"/>
        </w:rPr>
        <w:t>The</w:t>
      </w:r>
      <w:proofErr w:type="spellEnd"/>
      <w:r>
        <w:rPr>
          <w:lang w:val="es-EC"/>
        </w:rPr>
        <w:t xml:space="preserve"> Mines </w:t>
      </w:r>
      <w:proofErr w:type="spellStart"/>
      <w:r>
        <w:rPr>
          <w:lang w:val="es-EC"/>
        </w:rPr>
        <w:t>Advisory</w:t>
      </w:r>
      <w:proofErr w:type="spellEnd"/>
      <w:r>
        <w:rPr>
          <w:lang w:val="es-EC"/>
        </w:rPr>
        <w:t xml:space="preserve"> </w:t>
      </w:r>
      <w:proofErr w:type="spellStart"/>
      <w:r>
        <w:rPr>
          <w:lang w:val="es-EC"/>
        </w:rPr>
        <w:t>Group</w:t>
      </w:r>
      <w:proofErr w:type="spellEnd"/>
      <w:r>
        <w:rPr>
          <w:lang w:val="es-EC"/>
        </w:rPr>
        <w:t xml:space="preserve"> notificará a todos los oferentes interesados sobre su</w:t>
      </w:r>
      <w:r w:rsidR="000F44B1">
        <w:rPr>
          <w:lang w:val="es-EC"/>
        </w:rPr>
        <w:t xml:space="preserve"> inclusión, o no, en nuestra lista de</w:t>
      </w:r>
      <w:r>
        <w:rPr>
          <w:lang w:val="es-EC"/>
        </w:rPr>
        <w:t xml:space="preserve"> proveedores </w:t>
      </w:r>
      <w:proofErr w:type="spellStart"/>
      <w:r>
        <w:rPr>
          <w:lang w:val="es-EC"/>
        </w:rPr>
        <w:t>pre-seleccionados</w:t>
      </w:r>
      <w:proofErr w:type="spellEnd"/>
      <w:r>
        <w:rPr>
          <w:lang w:val="es-EC"/>
        </w:rPr>
        <w:t xml:space="preserve">. </w:t>
      </w:r>
    </w:p>
    <w:p w14:paraId="4564B90E" w14:textId="77777777" w:rsidR="00BB2E71" w:rsidRDefault="00BB2E71" w:rsidP="00BB2E71">
      <w:pPr>
        <w:pStyle w:val="ListParagraph"/>
        <w:ind w:left="360"/>
        <w:jc w:val="both"/>
        <w:rPr>
          <w:b/>
          <w:bCs/>
          <w:lang w:val="es-EC"/>
        </w:rPr>
      </w:pPr>
    </w:p>
    <w:p w14:paraId="0F044B07" w14:textId="3031A93A" w:rsidR="0086091E" w:rsidRDefault="00BB2E71" w:rsidP="00BB2E71">
      <w:pPr>
        <w:pStyle w:val="ListParagraph"/>
        <w:ind w:left="360"/>
        <w:jc w:val="both"/>
        <w:rPr>
          <w:lang w:val="es-EC"/>
        </w:rPr>
      </w:pPr>
      <w:r>
        <w:rPr>
          <w:lang w:val="es-EC"/>
        </w:rPr>
        <w:t xml:space="preserve">A partir de dicha fecha, se procederá a invitar a procesos de subasta inversa a todos los proveedores </w:t>
      </w:r>
      <w:proofErr w:type="spellStart"/>
      <w:r>
        <w:rPr>
          <w:lang w:val="es-EC"/>
        </w:rPr>
        <w:t>pre-seleccionados</w:t>
      </w:r>
      <w:proofErr w:type="spellEnd"/>
      <w:r>
        <w:rPr>
          <w:lang w:val="es-EC"/>
        </w:rPr>
        <w:t xml:space="preserve"> que cumplan con los requerimientos de cada subasta en específico. </w:t>
      </w:r>
    </w:p>
    <w:p w14:paraId="7C35E6D7" w14:textId="3AE5BEF7" w:rsidR="00BB2E71" w:rsidRDefault="00BB2E71" w:rsidP="00BB2E71">
      <w:pPr>
        <w:pStyle w:val="ListParagraph"/>
        <w:ind w:left="360"/>
        <w:jc w:val="both"/>
        <w:rPr>
          <w:lang w:val="es-EC"/>
        </w:rPr>
      </w:pPr>
    </w:p>
    <w:p w14:paraId="1ADBE31F" w14:textId="7C8478B1" w:rsidR="00BB2E71" w:rsidRPr="00BB2E71" w:rsidRDefault="00BB2E71" w:rsidP="00BB2E71">
      <w:pPr>
        <w:pStyle w:val="ListParagraph"/>
        <w:numPr>
          <w:ilvl w:val="0"/>
          <w:numId w:val="1"/>
        </w:numPr>
        <w:jc w:val="both"/>
        <w:rPr>
          <w:b/>
          <w:bCs/>
          <w:lang w:val="es-EC"/>
        </w:rPr>
      </w:pPr>
      <w:r>
        <w:rPr>
          <w:b/>
          <w:bCs/>
          <w:lang w:val="es-EC"/>
        </w:rPr>
        <w:t xml:space="preserve">Cronograma de </w:t>
      </w:r>
      <w:proofErr w:type="spellStart"/>
      <w:r>
        <w:rPr>
          <w:b/>
          <w:bCs/>
          <w:lang w:val="es-EC"/>
        </w:rPr>
        <w:t>pre-selección</w:t>
      </w:r>
      <w:proofErr w:type="spellEnd"/>
      <w:r>
        <w:rPr>
          <w:b/>
          <w:bCs/>
          <w:lang w:val="es-EC"/>
        </w:rPr>
        <w:t xml:space="preserve">: </w:t>
      </w:r>
      <w:r>
        <w:rPr>
          <w:lang w:val="es-EC"/>
        </w:rPr>
        <w:t xml:space="preserve">para la presente convocatoria de </w:t>
      </w:r>
      <w:proofErr w:type="spellStart"/>
      <w:r>
        <w:rPr>
          <w:lang w:val="es-EC"/>
        </w:rPr>
        <w:t>pre-selección</w:t>
      </w:r>
      <w:proofErr w:type="spellEnd"/>
      <w:r>
        <w:rPr>
          <w:lang w:val="es-EC"/>
        </w:rPr>
        <w:t xml:space="preserve"> de proveedores, se prevé el siguiente cronograma:</w:t>
      </w:r>
    </w:p>
    <w:p w14:paraId="61C14F12" w14:textId="4BCF21A5" w:rsidR="00D920B7" w:rsidRDefault="00D920B7" w:rsidP="003912ED">
      <w:pPr>
        <w:pStyle w:val="ListParagraph"/>
        <w:ind w:left="360"/>
        <w:jc w:val="both"/>
        <w:rPr>
          <w:lang w:val="es-EC"/>
        </w:rPr>
      </w:pPr>
    </w:p>
    <w:p w14:paraId="644AA5D5" w14:textId="77D0F674" w:rsidR="004E7CE7" w:rsidRPr="0086091E" w:rsidRDefault="004E7CE7" w:rsidP="003912ED">
      <w:pPr>
        <w:pStyle w:val="ListParagraph"/>
        <w:ind w:left="360"/>
        <w:jc w:val="both"/>
        <w:rPr>
          <w:lang w:val="es-EC"/>
        </w:rPr>
      </w:pPr>
      <w:bookmarkStart w:id="0" w:name="_GoBack"/>
      <w:r>
        <w:rPr>
          <w:noProof/>
        </w:rPr>
        <w:drawing>
          <wp:inline distT="0" distB="0" distL="0" distR="0" wp14:anchorId="268BB9C0" wp14:editId="05D20647">
            <wp:extent cx="5400040" cy="3021330"/>
            <wp:effectExtent l="0" t="0" r="0" b="762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0C72EF1-6564-4EE4-975B-194DB7572E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B0C72EF1-6564-4EE4-975B-194DB7572E4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213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sectPr w:rsidR="004E7CE7" w:rsidRPr="0086091E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8B00F" w14:textId="77777777" w:rsidR="00543F1E" w:rsidRDefault="00543F1E" w:rsidP="009D7D5E">
      <w:pPr>
        <w:spacing w:after="0" w:line="240" w:lineRule="auto"/>
      </w:pPr>
      <w:r>
        <w:separator/>
      </w:r>
    </w:p>
  </w:endnote>
  <w:endnote w:type="continuationSeparator" w:id="0">
    <w:p w14:paraId="77EA50EB" w14:textId="77777777" w:rsidR="00543F1E" w:rsidRDefault="00543F1E" w:rsidP="009D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43671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0C97CC" w14:textId="29F11175" w:rsidR="003152FF" w:rsidRDefault="003152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0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6B5F6A" w14:textId="77777777" w:rsidR="003152FF" w:rsidRDefault="00315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6E1A7" w14:textId="77777777" w:rsidR="00543F1E" w:rsidRDefault="00543F1E" w:rsidP="009D7D5E">
      <w:pPr>
        <w:spacing w:after="0" w:line="240" w:lineRule="auto"/>
      </w:pPr>
      <w:r>
        <w:separator/>
      </w:r>
    </w:p>
  </w:footnote>
  <w:footnote w:type="continuationSeparator" w:id="0">
    <w:p w14:paraId="52D54856" w14:textId="77777777" w:rsidR="00543F1E" w:rsidRDefault="00543F1E" w:rsidP="009D7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A28F0" w14:textId="06419357" w:rsidR="009D7D5E" w:rsidRPr="007C687D" w:rsidRDefault="009D7D5E" w:rsidP="009D7D5E">
    <w:pPr>
      <w:pStyle w:val="Header"/>
      <w:jc w:val="right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DD5E398" wp14:editId="2AE33D49">
          <wp:simplePos x="0" y="0"/>
          <wp:positionH relativeFrom="margin">
            <wp:posOffset>106325</wp:posOffset>
          </wp:positionH>
          <wp:positionV relativeFrom="paragraph">
            <wp:posOffset>-32340</wp:posOffset>
          </wp:positionV>
          <wp:extent cx="1798320" cy="712470"/>
          <wp:effectExtent l="0" t="0" r="0" b="0"/>
          <wp:wrapThrough wrapText="bothSides">
            <wp:wrapPolygon edited="0">
              <wp:start x="0" y="0"/>
              <wp:lineTo x="0" y="20791"/>
              <wp:lineTo x="21280" y="20791"/>
              <wp:lineTo x="21280" y="0"/>
              <wp:lineTo x="0" y="0"/>
            </wp:wrapPolygon>
          </wp:wrapThrough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687D">
      <w:rPr>
        <w:color w:val="FF0000"/>
        <w:sz w:val="20"/>
      </w:rPr>
      <w:t>Mines Advisory Group (MAG) – Ecuador</w:t>
    </w:r>
  </w:p>
  <w:p w14:paraId="14C15715" w14:textId="54922927" w:rsidR="009D7D5E" w:rsidRPr="007C687D" w:rsidRDefault="009D7D5E" w:rsidP="009D7D5E">
    <w:pPr>
      <w:pStyle w:val="Header"/>
      <w:jc w:val="right"/>
      <w:rPr>
        <w:sz w:val="20"/>
      </w:rPr>
    </w:pPr>
    <w:r w:rsidRPr="007C687D">
      <w:rPr>
        <w:sz w:val="20"/>
      </w:rPr>
      <w:tab/>
      <w:t>Tel +593 (2) 451 200</w:t>
    </w:r>
  </w:p>
  <w:p w14:paraId="58367693" w14:textId="77777777" w:rsidR="009D7D5E" w:rsidRPr="007C687D" w:rsidRDefault="009D7D5E" w:rsidP="009D7D5E">
    <w:pPr>
      <w:pStyle w:val="Header"/>
      <w:jc w:val="right"/>
      <w:rPr>
        <w:sz w:val="20"/>
        <w:lang w:val="es-EC"/>
      </w:rPr>
    </w:pPr>
    <w:r w:rsidRPr="007C687D">
      <w:rPr>
        <w:sz w:val="20"/>
      </w:rPr>
      <w:tab/>
    </w:r>
    <w:r w:rsidRPr="007C687D">
      <w:rPr>
        <w:sz w:val="20"/>
        <w:lang w:val="es-EC"/>
      </w:rPr>
      <w:t>Naciones Unidas E2-30 Núñez de Vela</w:t>
    </w:r>
  </w:p>
  <w:p w14:paraId="3C6FDD37" w14:textId="77777777" w:rsidR="009D7D5E" w:rsidRPr="007C687D" w:rsidRDefault="009D7D5E" w:rsidP="009D7D5E">
    <w:pPr>
      <w:pStyle w:val="Header"/>
      <w:jc w:val="right"/>
      <w:rPr>
        <w:sz w:val="20"/>
        <w:lang w:val="es-EC"/>
      </w:rPr>
    </w:pPr>
    <w:r w:rsidRPr="007C687D">
      <w:rPr>
        <w:sz w:val="20"/>
        <w:lang w:val="es-EC"/>
      </w:rPr>
      <w:t xml:space="preserve">Edificio </w:t>
    </w:r>
    <w:proofErr w:type="spellStart"/>
    <w:r w:rsidRPr="007C687D">
      <w:rPr>
        <w:sz w:val="20"/>
        <w:lang w:val="es-EC"/>
      </w:rPr>
      <w:t>Metropolitan</w:t>
    </w:r>
    <w:proofErr w:type="spellEnd"/>
    <w:r w:rsidRPr="007C687D">
      <w:rPr>
        <w:sz w:val="20"/>
        <w:lang w:val="es-EC"/>
      </w:rPr>
      <w:t>, Piso 4, oficina 410</w:t>
    </w:r>
  </w:p>
  <w:p w14:paraId="2A864B77" w14:textId="77777777" w:rsidR="009D7D5E" w:rsidRDefault="009D7D5E" w:rsidP="009D7D5E">
    <w:pPr>
      <w:pStyle w:val="Header"/>
      <w:jc w:val="right"/>
      <w:rPr>
        <w:sz w:val="20"/>
        <w:lang w:val="es-EC"/>
      </w:rPr>
    </w:pPr>
    <w:r w:rsidRPr="007C687D">
      <w:rPr>
        <w:sz w:val="20"/>
        <w:lang w:val="es-EC"/>
      </w:rPr>
      <w:tab/>
    </w:r>
    <w:r w:rsidRPr="007C687D">
      <w:rPr>
        <w:sz w:val="20"/>
        <w:lang w:val="es-EC"/>
      </w:rPr>
      <w:tab/>
      <w:t xml:space="preserve"> Quito, Ecuador</w:t>
    </w:r>
  </w:p>
  <w:p w14:paraId="1E6A1359" w14:textId="7D09EED1" w:rsidR="009D7D5E" w:rsidRPr="009D7D5E" w:rsidRDefault="009D7D5E" w:rsidP="009D7D5E">
    <w:pPr>
      <w:pStyle w:val="Header"/>
      <w:tabs>
        <w:tab w:val="clear" w:pos="4252"/>
        <w:tab w:val="clear" w:pos="8504"/>
        <w:tab w:val="left" w:pos="1256"/>
      </w:tabs>
      <w:rPr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F64F2"/>
    <w:multiLevelType w:val="hybridMultilevel"/>
    <w:tmpl w:val="4F4A3C2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307DF"/>
    <w:multiLevelType w:val="multilevel"/>
    <w:tmpl w:val="36C21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B7"/>
    <w:rsid w:val="00001ED8"/>
    <w:rsid w:val="000C5486"/>
    <w:rsid w:val="000F44B1"/>
    <w:rsid w:val="0016056F"/>
    <w:rsid w:val="002F0C72"/>
    <w:rsid w:val="00301095"/>
    <w:rsid w:val="003152FF"/>
    <w:rsid w:val="00367BF4"/>
    <w:rsid w:val="003912ED"/>
    <w:rsid w:val="00407DF3"/>
    <w:rsid w:val="00450F8E"/>
    <w:rsid w:val="004E7CE7"/>
    <w:rsid w:val="00543F1E"/>
    <w:rsid w:val="005703B2"/>
    <w:rsid w:val="006F5030"/>
    <w:rsid w:val="00707B98"/>
    <w:rsid w:val="00711855"/>
    <w:rsid w:val="00720B9C"/>
    <w:rsid w:val="007F00BE"/>
    <w:rsid w:val="00815B53"/>
    <w:rsid w:val="00825CBE"/>
    <w:rsid w:val="0085051C"/>
    <w:rsid w:val="0086091E"/>
    <w:rsid w:val="00967D7B"/>
    <w:rsid w:val="009D7D5E"/>
    <w:rsid w:val="00A52068"/>
    <w:rsid w:val="00AD040E"/>
    <w:rsid w:val="00B86B69"/>
    <w:rsid w:val="00BB2E71"/>
    <w:rsid w:val="00CC7E31"/>
    <w:rsid w:val="00D007B9"/>
    <w:rsid w:val="00D920B7"/>
    <w:rsid w:val="00DB5E3B"/>
    <w:rsid w:val="00E236C2"/>
    <w:rsid w:val="00E4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21FAF"/>
  <w15:chartTrackingRefBased/>
  <w15:docId w15:val="{581B5D96-FA01-479E-A2C0-195C9894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0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0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0C7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4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7D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D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D7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D7B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D7B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7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D5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7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D5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.ecuador@maginternational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tenders.ecuador@maginternational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4BE78C573BC143AFCA812AA4611A4A" ma:contentTypeVersion="13" ma:contentTypeDescription="Crear nuevo documento." ma:contentTypeScope="" ma:versionID="dcd3bb7534987dc4306b596f040e3612">
  <xsd:schema xmlns:xsd="http://www.w3.org/2001/XMLSchema" xmlns:xs="http://www.w3.org/2001/XMLSchema" xmlns:p="http://schemas.microsoft.com/office/2006/metadata/properties" xmlns:ns2="304edfd2-1964-493c-8c2a-483f29ada6ec" xmlns:ns3="470437b7-9ceb-4bf9-948b-79a534b063cc" targetNamespace="http://schemas.microsoft.com/office/2006/metadata/properties" ma:root="true" ma:fieldsID="2a2ed8ad5a0e51b3c337c2468357fb45" ns2:_="" ns3:_="">
    <xsd:import namespace="304edfd2-1964-493c-8c2a-483f29ada6ec"/>
    <xsd:import namespace="470437b7-9ceb-4bf9-948b-79a534b06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edfd2-1964-493c-8c2a-483f29ada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437b7-9ceb-4bf9-948b-79a534b063c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F66F0A-15A5-46AD-963C-F81B914193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A5821F-DBFF-4BDD-8C0D-C42D20FD7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edfd2-1964-493c-8c2a-483f29ada6ec"/>
    <ds:schemaRef ds:uri="470437b7-9ceb-4bf9-948b-79a534b06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BA0811-02DF-44C3-B4DA-60B161DCEE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Sáenz Kohls</dc:creator>
  <cp:keywords/>
  <dc:description/>
  <cp:lastModifiedBy>Dario Tapia</cp:lastModifiedBy>
  <cp:revision>3</cp:revision>
  <cp:lastPrinted>2021-11-29T20:13:00Z</cp:lastPrinted>
  <dcterms:created xsi:type="dcterms:W3CDTF">2022-10-13T14:13:00Z</dcterms:created>
  <dcterms:modified xsi:type="dcterms:W3CDTF">2022-10-13T14:25:00Z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0x010100624BE78C573BC143AFCA812AA4611A4A</vt:lpwstr>
  </property>
</Properties>
</file>